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be6b460eba04c5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9976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MILAN AMRUŠ</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1.769.389,15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2.118.100,33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1.733.793,44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2.298.980,24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180.879,91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50.562,34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50.562,34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6.772,67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14.966,63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187.652,58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1253,8</w:t>
            </w:r>
          </w:p>
        </w:tc>
      </w:tr>
    </w:tbl>
    <w:p>
      <w:pPr>
        <w:spacing w:before="0" w:after="0"/>
      </w:pPr>
    </w:p>
    <w:p>
      <w:r>
        <w:t xml:space="preserve">Manjak prihoda poslovanja evidentiran u obrascu PR-RAS rezultat je ostvarenih rashoda poslovanja koji premašuju ostvarene prihode, pri čemu je na rashodovnoj strani iskazano 2.298.980,24 EUR, dok su prihodi poslovanja iznosili 2.118.100,33 EUR. Time je ostvaren manjak prihoda poslovanja u iznosu od 180.879,91 EUR. Nastali manjak prvenstveno je posljedica rasta rashoda za plaće zaposlenika zbog povećanja osnovice za obračun plaće i povećanja broja zaposlenih što je utjecalo na rast rashodovne strane poslovanja (šifra 3) bez proporcionalnog rasta prihoda (šifra 6). S obzirom na strukturu proračunskog računovodstva, manjak je dodatno izražen jer je iskazano 13 rashoda za plaće, dok je za isto razdoblje iskazano 12 prihoda za plaće, što je uz ukidanje kontinuiranih rashoda, utjecalo na iskazani manjak. Manjak od prodaje i nabave nefinancijske imovine u iznosu od 6.772,67 EUR proizlazi iz ulaganja u nefinancijsku imovinu tijekom izvještajnog razdoblja.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1.769.389,15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2.118.100,33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w:t>
            </w:r>
          </w:p>
        </w:tc>
      </w:tr>
    </w:tbl>
    <w:p>
      <w:pPr>
        <w:spacing w:before="0" w:after="0"/>
      </w:pPr>
    </w:p>
    <w:p>
      <w:r>
        <w:t xml:space="preserve">U izvještajnom razdoblju iskazani su prihodi u ukupnom iznosu od 2.118.100,33 EUR. Do povećanja prihoda u odnosu na isto razdoblje prethodne godine došlo je zbog povećanja osnovice za obračun plaće u javnim službama za 2025.g., povećanja broja zaposlenih, te većeg broja učenika čime su ostvareni i veći prihodi od eTur-a za prijevoz, prehranu i didaktiku učenika. Ostvareni su i veći prihodi za bruto plaće pomoćnika u nastavi zbog primjene novog Pravilnika o pomoćnicima u nastavi i stručnim komunikacijskim posrednicima, te zapošljavanja većeg broja pomoćnika u nastavi u odnosu na isto izvještajno razdoblje prethodne godine.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1.563.037,65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1.774.653,77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w:t>
            </w:r>
          </w:p>
        </w:tc>
      </w:tr>
    </w:tbl>
    <w:p>
      <w:pPr>
        <w:spacing w:before="0" w:after="0"/>
      </w:pPr>
    </w:p>
    <w:p>
      <w:r>
        <w:t xml:space="preserve">Povećanje ostvarenih prihoda za 13,50% u odnosu na isto izvještajno razdoblje prethodne godine uvjetovano je porastom osnovice za obračun plaće (povećanje osnovice za 3% od 1. veljače 2025. i za 3% od 1.rujna 2025.g.), povećanjem broja zaposlenika (prosječan broj veći za 11 zaposlenih u odnosu na isto razdoblje prethodne godine), te porastom broja učenika koji pohađaju školu (10 učenika više), uslijed čega su i veća potraživanja/sufinanciranje MZOM (eTur) za prijevoz, prehranu i didaktička sredstva za djecu s teškoćama u razvoju u osnovnim školama.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205.339,95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340.420,33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165,8</w:t>
            </w:r>
          </w:p>
        </w:tc>
      </w:tr>
    </w:tbl>
    <w:p>
      <w:pPr>
        <w:spacing w:before="0" w:after="0"/>
      </w:pPr>
    </w:p>
    <w:p>
      <w:r>
        <w:t xml:space="preserve">Do povećanja prihoda iz nadležnog proračuna, za 65,80% u odnosu na isto izvještajno razdoblje prethodne godine, došlo je zbog primjene novog Pravilnika o pomoćnicima u nastavi i stručnim komunikacijskim posrednicima na temelju kojeg su potpisani Ugovori s pomoćnicima u nastavi do kraja kolovoza 2025.g. čime su ostvarili pravo isplate plaće za mjesec srpanj i kolovoz 2025.g., za razliku od istog razdoblja prethodne godine u kojem nisu ostvarili navedeno pravo. Istim pravilnikom donesena je odluka o minimalnoj bruto satnici od 7,50 EUR, što je uzrokovalo znatno povećanje u odnosu na bruto satnicu od 4,81 EUR za prethodno razdoblje. Došlo je i do povećanja broja pomoćnika u nastavi što je dodatno utjecalo na povećanje prihoda iz nadležnog proračuna.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615,6</w:t>
            </w:r>
          </w:p>
        </w:tc>
      </w:tr>
    </w:tbl>
    <w:p>
      <w:pPr>
        <w:spacing w:before="0" w:after="0"/>
      </w:pPr>
    </w:p>
    <w:p>
      <w:r>
        <w:t xml:space="preserve">Do povećanja prihoda u odnosu na isto razdoblje prethodne godine došlo je zbog odabira skuplje police osiguranja za učenike od strane roditelja i povećanja broja osiguranih učenika - prihod od uplate roditelja za troškove osiguranja, uplate od Zajednice tehničke kulture BPŽ za nabavu materijala za rad Zadruge, te doznačena sredstva za nabavu materijala za rad Biblijsko-dramske skupine.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1.733.793,44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2.298.980,24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w:t>
            </w:r>
          </w:p>
        </w:tc>
      </w:tr>
    </w:tbl>
    <w:p>
      <w:pPr>
        <w:spacing w:before="0" w:after="0"/>
      </w:pPr>
    </w:p>
    <w:p>
      <w:r>
        <w:t xml:space="preserve">Porast rashoda poslovanja za 32,6% u odnosu na ostvarene rashode u istom izvještajnom razdoblju prethodne godine uzrokovano je povećanjem osnovice za obračun plaće, povećanjem broja zaposlenika i povećanim rashodima za troškove prijevoza i prehrane učenika, te nabave didaktičkih materijala i sredstava. Novim pravilnikom ukinut je konto kontinuiranih rashoda budućih razdoblja (193), te je ovim izvještajnim razdobljem knjiženo 13 rashoda za plaću, za razliku od istog razdoblja prethodne godine u kojem je knjiženo 12 rashoda za plaću. Na povećanje rashoda utjecala je i veća bruto satnica pomoćnika u nastavi, kao i povećanje broja zaposlenih pomoćnika.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1.497.757,47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2.068.384,07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w:t>
            </w:r>
          </w:p>
        </w:tc>
      </w:tr>
    </w:tbl>
    <w:p>
      <w:pPr>
        <w:spacing w:before="0" w:after="0"/>
      </w:pPr>
    </w:p>
    <w:p>
      <w:r>
        <w:t xml:space="preserve">Povećani rashodi za 38,1% u odnosu na isto razdoblje prethodne godine uvjetovani su rastom bruto osnovice za obračun plaće zaposlenika te povećanjem broja zaposlenih u odnosu na isto izvještajno razdoblje prethodne godine. Također je rast prihoda uvjetovan porastom bruto satnice pomoćnika u nastavi, kao i zapošljavanje većeg broja pomoćnika u odnosu na isto razdoblje prethodne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186.934,80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230.596,17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123,4</w:t>
            </w:r>
          </w:p>
        </w:tc>
      </w:tr>
    </w:tbl>
    <w:p>
      <w:pPr>
        <w:spacing w:before="0" w:after="0"/>
      </w:pPr>
    </w:p>
    <w:p>
      <w:r>
        <w:t xml:space="preserve">Do povećanja rashoda za 23,40% u odnosu na isto razdoblje prethodne godine došlo je zbog povećanog broja stručnih usavršavanja i službenih putovanja zaposlenika, zapošljavanje zaposlenika s udaljenijih područja, porastom cijene energenata, te povećanih rashoda prijevoza i prehrane učenika i nabave didaktičkih materijala i sredstava (eTur).</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50.208,84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88.827,54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176,9</w:t>
            </w:r>
          </w:p>
        </w:tc>
      </w:tr>
    </w:tbl>
    <w:p>
      <w:pPr>
        <w:spacing w:before="0" w:after="0"/>
      </w:pPr>
    </w:p>
    <w:p>
      <w:r>
        <w:t xml:space="preserve">Porast rashoda za 76,90% u odnosu na isto razdoblje prethodne godine uzrokovan je većim brojem djece koje prevozi ovlašteni prijevoznik, povećanjem broja roditelja koji djecu dovoze u školu (individualni prijevoz), rast troškova prehrane učenika i povećani troškovi nabave didaktičkih materijala i sredstava uslijed povećanja broja djece koji pohađaju školu, rashodi sufinancirani od strane MZOM (eTur).</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1358,0</w:t>
            </w:r>
          </w:p>
        </w:tc>
      </w:tr>
    </w:tbl>
    <w:p>
      <w:pPr>
        <w:spacing w:before="0" w:after="0"/>
      </w:pPr>
    </w:p>
    <w:p>
      <w:r>
        <w:t xml:space="preserve">Porast troškova reprezentacije u odnosu na isto izvještajno razdoblje prethodne godine, zbog otvaranja nove školske zgrade, uslijed čega su nastali veći troškovi vezani za svečano otvorenje i trošak prigodnih poklona za suradnike.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26.242,60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35.625,27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w:t>
            </w:r>
          </w:p>
        </w:tc>
      </w:tr>
    </w:tbl>
    <w:p>
      <w:pPr>
        <w:spacing w:before="0" w:after="0"/>
      </w:pPr>
    </w:p>
    <w:p>
      <w:r>
        <w:t xml:space="preserve">Razlika između početnog i završnog stanja odnosi se na nabavu udžbenika za potrebe učenika i knjiga za lektiru za potrebe školske knjižnice.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38.965,88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40.351,19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w:t>
            </w:r>
          </w:p>
        </w:tc>
      </w:tr>
    </w:tbl>
    <w:p>
      <w:pPr>
        <w:spacing w:before="0" w:after="0"/>
      </w:pPr>
    </w:p>
    <w:p>
      <w:r>
        <w:t xml:space="preserve">Razlika između početnog i završnog stanja nastala je zbog otpisa zastarjelog inventara i nabavke novog inventara za potrebe kuhinje, te otpisa dotrajalih i nabave novih didaktičkih sredstava za potrebe učenika s posebnim potrebama.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108.932,82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262.524,46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241,0</w:t>
            </w:r>
          </w:p>
        </w:tc>
      </w:tr>
    </w:tbl>
    <w:p>
      <w:pPr>
        <w:spacing w:before="0" w:after="0"/>
      </w:pPr>
    </w:p>
    <w:p>
      <w:r>
        <w:t xml:space="preserve">Povećanje potraživanja u odnosu na stanje 01.01. odnosi se na potraživanja za bruto plaće zaposlenika, materijalna prava i materijalne rashode za račune koji su nastali u 12.mjesecu 2025.g., a isplata je u siječnju 2026. kada se i zatvaraju potraživanja.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166.326,22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238.605,60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143,5</w:t>
            </w:r>
          </w:p>
        </w:tc>
      </w:tr>
    </w:tbl>
    <w:p>
      <w:pPr>
        <w:spacing w:before="0" w:after="0"/>
      </w:pPr>
    </w:p>
    <w:p>
      <w:r>
        <w:t xml:space="preserve">Porast obveza u odnosu na isto razdoblje prethodne godine nastaje zbog povećanja osnovice za obračun bruto plaće, povećanja broja zaposlenih i rasta cijena na tržištu koje su uzrokovale povećanjem obveza za materijalne rashode.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49.663,95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-142.177,83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-286,3</w:t>
            </w:r>
          </w:p>
        </w:tc>
      </w:tr>
    </w:tbl>
    <w:p>
      <w:pPr>
        <w:spacing w:before="0" w:after="0"/>
      </w:pPr>
    </w:p>
    <w:p>
      <w:r>
        <w:t xml:space="preserve">U 2024.g. ostvaren je višak prihoda poslovanja u iznosu od 49.663,95 EUR, koji će pokriti dio manjka poslovanja za 2025.g., te ukupni manjak poslovanja za 2025.g. iznosi 142.177,83 EUR. Iskazani manjak je posljedica novog načina knjiženja prema Pravilniku o proračunskom računovodstvu i Računskom planu.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19.912,23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156,3</w:t>
            </w:r>
          </w:p>
        </w:tc>
      </w:tr>
    </w:tbl>
    <w:p>
      <w:pPr>
        <w:spacing w:before="0" w:after="0"/>
      </w:pPr>
    </w:p>
    <w:p>
      <w:r>
        <w:t xml:space="preserve">Povećanje vrijednosti izvanbilančnih zapisa posljedica je novog načina knjiženja EU projekata Erasmus+. Povećanje u iznosu 7.170,00 EUR odnosi se na preostali iznos vrijednosti Erasmus+ projekta.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1.764.381,70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2.284.489,99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129,5</w:t>
            </w:r>
          </w:p>
        </w:tc>
      </w:tr>
    </w:tbl>
    <w:p>
      <w:pPr>
        <w:spacing w:before="0" w:after="0"/>
      </w:pPr>
    </w:p>
    <w:p>
      <w:r>
        <w:t xml:space="preserve">Iskazani su ukupni rashodi u iznosu 2.284.489,99 EUR, povećanje za 29,50% u odnosu na isto razdoblje prethodne godine rezultat je primjene novog Pravilnika o proračunskom računovodstvu i računskom planu, kojim su uvedeni novi načini knjiženja, povećanje bruto osnovice za obračun plaće zaposlenih, povećanje bruto satnice pomoćnika u nastavi, te povećanje broja zaposlenih.</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19.974,08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23.872,92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w:t>
            </w:r>
          </w:p>
        </w:tc>
      </w:tr>
    </w:tbl>
    <w:p>
      <w:pPr>
        <w:spacing w:before="0" w:after="0"/>
      </w:pPr>
    </w:p>
    <w:p>
      <w:r>
        <w:t xml:space="preserve">Iskazani rashodi odnose se na namirnice za školsku kuhinju. Povećanje od 19,50% rezultat je većeg broja učenika koji pohađaju školu, iz čega proizlaze i veći rashodi za nabavu namirnica.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47.475,77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smanjenja u vrijednosti i obujmu imovine rezultat je godišnjeg ispravka vrijednosti za dugotrajnu imovinu (amortizacija), koji se prema novom Pravilniku o proračunskom računovodstvu i Računskom planu, provodi preko konta 91511.</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sastavljanja izvještaja stanje dospjelih obveza iznosi 0,00 EUR. Svi pristigli računi pravovremeno su zaprimljeni, knjiženi, te podmireni u ugovorenim rokovima dospijeća, čime je osigurana urednost i stabilnost u upravljanju novčanim tokom ustanove.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249.737,30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iznosi 249.737,30 EUR, a odnosi se na obveze za bruto plaću i naknade za prosinac 2025.g. koje će biti isplaćene u siječnju 2026.g., obveze za materijalne rashode (prijevoz zaposlenika i neplaćeni računi), obveze za bolovanje na teret HZZO-a i obveze za primljene predujmove za EU projekte, te obveze za nabavu proizvedene dugotrajne imovine.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238.605,60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iznose 238.605,60 EUR, a odnose se na obveze za plaće 193.146,45 EUR, obveze za prijevoz 4.412,11 EUR, obveze za nedospjele račune 41.047,04 EUR.</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Obveza za nabavu nefinancijske imovine iznosi 307,72 EUR, a odnosi se na nabavu knjiga za knjižnicu. Račun dospijeva na naplatu u siječnju 2026.g.</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obveze za refundiranje bolovanja od strane HZZO koje iznos 6.634,78 EUR i obveze za EU predujmove u iznosu od 4.189,20 EUR</w:t>
      </w:r>
    </w:p>
    <w:p/>
    <w:p>
      <w:pPr>
        <w:jc w:val="center"/>
        <w:pStyle w:val="Normal"/>
        <w:spacing w:line="240" w:lineRule="auto"/>
        <w:keepNext/>
      </w:pPr>
      <w:r>
        <w:rPr>
          <w:sz w:val="28"/>
          <w:rFonts w:ascii="Times New Roman" w:hAnsi="Times New Roman"/>
        </w:rPr>
        <w:t xml:space="preserve">Bilješka 25.</w:t>
      </w:r>
    </w:p>
    <w:p>
      <w:pPr>
        <w:jc w:val="both"/>
        <w:pStyle w:val="Normal"/>
        <w:spacing w:line="240" w:lineRule="auto"/>
      </w:pPr>
      <w:r>
        <w:rPr>
          <w:b/>
          <w:sz w:val="24"/>
          <w:rFonts w:ascii="Times New Roman" w:hAnsi="Times New Roman"/>
        </w:rPr>
        <w:t xml:space="preserve">EU izvještaj</w:t>
      </w:r>
    </w:p>
    <w:p>
      <w:r>
        <w:t xml:space="preserve">Erasmus + projekt 2024-1-HR01-KA122-SCH-00212938, dodijeljen u ukupnoj vrijednosti 14.904,00 EUR. Predujam u iznosu od 11.923,20 EUR primljen 19.07.2024.g. U 2024.g. rashodi 7.734,00 EUR i 2.578,00 EUR rashodi za 2025.g.  Završno izvješće prema AMPEU nije još podneseno.</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042e37406d34352" /></Relationships>
</file>